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F2C4CB" w14:textId="77777777" w:rsidR="008469AA" w:rsidRDefault="00000000">
      <w:pPr>
        <w:pStyle w:val="Heading2"/>
        <w:rPr>
          <w:rFonts w:hint="eastAsia"/>
        </w:rPr>
      </w:pPr>
      <w:r>
        <w:lastRenderedPageBreak/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B7487F9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What does it mean for two ratios to be equivalent?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0912856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 xml:space="preserve">Complete: 2:5 = 4:__.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BC52CA7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If 3 notebooks cost $9, what is the cost per notebook?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4EF277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A car travels 60 km in 1 hour. How far in 4 hours?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DB87E79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Why must “cost over notebooks” remain in the same order?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9D8A71E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What is the scale factor from 5 to 20?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902ED3" w14:textId="77777777" w:rsidR="008469AA" w:rsidRDefault="00000000">
      <w:pPr>
        <w:pStyle w:val="Compact"/>
        <w:keepNext/>
        <w:numPr>
          <w:ilvl w:val="0"/>
          <w:numId w:val="214"/>
        </w:numPr>
      </w:pPr>
      <w:r>
        <w:t>Is adding the same number to both parts of a ratio a reliable way to make an equivalent ratio?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13: Solving Proportions with More Than One Strategy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